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300" w:line="396" w:lineRule="auto"/>
        <w:contextualSpacing w:val="0"/>
      </w:pPr>
      <w:bookmarkStart w:colFirst="0" w:colLast="0" w:name="1fob9te" w:id="0"/>
      <w:bookmarkEnd w:id="0"/>
      <w:r w:rsidDel="00000000" w:rsidR="00000000" w:rsidRPr="00000000">
        <w:rPr>
          <w:rFonts w:ascii="Play" w:cs="Play" w:eastAsia="Play" w:hAnsi="Play"/>
          <w:color w:val="000000"/>
          <w:rtl w:val="0"/>
        </w:rPr>
        <w:t xml:space="preserve">Twister T4 Trimmer (24-9007-00)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Input Voltage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115V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Current Draw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 2A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Blade Motor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200W / 0.25HP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Tumbler Motor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6W / 1/125HP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Cut Height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.040in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56lbs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Shipping Weight (complete w/leaf collector)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120lbs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25in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15in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Height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16.5in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Discharge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Play" w:cs="Play" w:eastAsia="Play" w:hAnsi="Play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5in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3"/>
        <w:spacing w:after="580" w:line="288" w:lineRule="auto"/>
        <w:contextualSpacing w:val="0"/>
      </w:pPr>
      <w:bookmarkStart w:colFirst="0" w:colLast="0" w:name="3znysh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